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9E7FD" w14:textId="77777777" w:rsidR="00DD304D" w:rsidRDefault="00144A15" w:rsidP="00DD304D">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10074AD7" w14:textId="77777777" w:rsidR="00DD304D" w:rsidRDefault="00DD304D" w:rsidP="00DD304D">
      <w:pPr>
        <w:spacing w:line="480" w:lineRule="auto"/>
        <w:contextualSpacing/>
        <w:rPr>
          <w:rFonts w:ascii="Times New Roman" w:hAnsi="Times New Roman" w:cs="Times New Roman"/>
          <w:b/>
          <w:bCs/>
          <w:sz w:val="24"/>
          <w:szCs w:val="24"/>
        </w:rPr>
      </w:pPr>
    </w:p>
    <w:p w14:paraId="51C5E968" w14:textId="77777777" w:rsidR="00DD304D" w:rsidRDefault="00DD304D" w:rsidP="00DD304D">
      <w:pPr>
        <w:spacing w:line="480" w:lineRule="auto"/>
        <w:contextualSpacing/>
        <w:rPr>
          <w:rFonts w:ascii="Times New Roman" w:hAnsi="Times New Roman" w:cs="Times New Roman"/>
          <w:b/>
          <w:bCs/>
          <w:sz w:val="24"/>
          <w:szCs w:val="24"/>
        </w:rPr>
      </w:pPr>
    </w:p>
    <w:p w14:paraId="54310DE3" w14:textId="77777777" w:rsidR="00DD304D" w:rsidRDefault="00DD304D" w:rsidP="00DD304D">
      <w:pPr>
        <w:spacing w:line="480" w:lineRule="auto"/>
        <w:contextualSpacing/>
        <w:rPr>
          <w:rFonts w:ascii="Times New Roman" w:hAnsi="Times New Roman" w:cs="Times New Roman"/>
          <w:b/>
          <w:bCs/>
          <w:sz w:val="24"/>
          <w:szCs w:val="24"/>
        </w:rPr>
      </w:pPr>
    </w:p>
    <w:p w14:paraId="73BF420C" w14:textId="77777777" w:rsidR="00DD304D" w:rsidRDefault="00DD304D" w:rsidP="00DD304D">
      <w:pPr>
        <w:spacing w:line="480" w:lineRule="auto"/>
        <w:contextualSpacing/>
        <w:rPr>
          <w:rFonts w:ascii="Times New Roman" w:hAnsi="Times New Roman" w:cs="Times New Roman"/>
          <w:b/>
          <w:bCs/>
          <w:sz w:val="24"/>
          <w:szCs w:val="24"/>
        </w:rPr>
      </w:pPr>
    </w:p>
    <w:p w14:paraId="75B7C829" w14:textId="77777777" w:rsidR="00DD304D" w:rsidRDefault="00DD304D" w:rsidP="00DD304D">
      <w:pPr>
        <w:spacing w:line="480" w:lineRule="auto"/>
        <w:contextualSpacing/>
        <w:rPr>
          <w:rFonts w:ascii="Times New Roman" w:hAnsi="Times New Roman" w:cs="Times New Roman"/>
          <w:b/>
          <w:bCs/>
          <w:sz w:val="24"/>
          <w:szCs w:val="24"/>
        </w:rPr>
      </w:pPr>
    </w:p>
    <w:p w14:paraId="185DD91C" w14:textId="77777777" w:rsidR="00DD304D" w:rsidRDefault="00DD304D" w:rsidP="00DD304D">
      <w:pPr>
        <w:spacing w:line="480" w:lineRule="auto"/>
        <w:contextualSpacing/>
        <w:rPr>
          <w:rFonts w:ascii="Times New Roman" w:hAnsi="Times New Roman" w:cs="Times New Roman"/>
          <w:b/>
          <w:bCs/>
          <w:sz w:val="24"/>
          <w:szCs w:val="24"/>
        </w:rPr>
      </w:pPr>
    </w:p>
    <w:p w14:paraId="50BB1E52" w14:textId="3242AE7B" w:rsidR="00DD304D" w:rsidRDefault="00144A15" w:rsidP="00DD304D">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8867A0">
        <w:rPr>
          <w:rFonts w:ascii="Times New Roman" w:hAnsi="Times New Roman" w:cs="Times New Roman"/>
          <w:b/>
          <w:bCs/>
          <w:sz w:val="24"/>
          <w:szCs w:val="24"/>
        </w:rPr>
        <w:t>Male and Female Writers Representation of Gender Authority</w:t>
      </w:r>
    </w:p>
    <w:p w14:paraId="3586FDCA"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16C30B99"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53A09E8F"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53EFB3B5" w14:textId="1908C978" w:rsidR="00DD304D" w:rsidRDefault="00DD304D" w:rsidP="00DD304D">
      <w:pPr>
        <w:spacing w:line="480" w:lineRule="auto"/>
        <w:ind w:left="1440" w:firstLine="720"/>
        <w:contextualSpacing/>
        <w:rPr>
          <w:rFonts w:ascii="Times New Roman" w:hAnsi="Times New Roman" w:cs="Times New Roman"/>
          <w:b/>
          <w:bCs/>
          <w:sz w:val="24"/>
          <w:szCs w:val="24"/>
        </w:rPr>
      </w:pPr>
    </w:p>
    <w:p w14:paraId="0125BB0B" w14:textId="77777777" w:rsidR="00BD0050" w:rsidRDefault="00BD0050" w:rsidP="00DD304D">
      <w:pPr>
        <w:spacing w:line="480" w:lineRule="auto"/>
        <w:ind w:left="1440" w:firstLine="720"/>
        <w:contextualSpacing/>
        <w:rPr>
          <w:rFonts w:ascii="Times New Roman" w:hAnsi="Times New Roman" w:cs="Times New Roman"/>
          <w:b/>
          <w:bCs/>
          <w:sz w:val="24"/>
          <w:szCs w:val="24"/>
        </w:rPr>
      </w:pPr>
    </w:p>
    <w:p w14:paraId="2DCE05D7" w14:textId="77777777" w:rsidR="00DD304D" w:rsidRDefault="00DD304D" w:rsidP="00DD304D">
      <w:pPr>
        <w:spacing w:line="480" w:lineRule="auto"/>
        <w:ind w:left="1440" w:firstLine="720"/>
        <w:contextualSpacing/>
        <w:rPr>
          <w:rFonts w:ascii="Times New Roman" w:hAnsi="Times New Roman" w:cs="Times New Roman"/>
          <w:b/>
          <w:bCs/>
          <w:sz w:val="24"/>
          <w:szCs w:val="24"/>
        </w:rPr>
      </w:pPr>
    </w:p>
    <w:p w14:paraId="495D17FD" w14:textId="442F87F9" w:rsidR="00DD304D" w:rsidRDefault="00144A15"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2386A339" w14:textId="094B84DC" w:rsidR="007157E1" w:rsidRDefault="00144A15"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0D76EAB1" w14:textId="76C53788" w:rsidR="007157E1" w:rsidRDefault="00144A15"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40297763" w14:textId="29147644" w:rsidR="007157E1" w:rsidRDefault="00144A15" w:rsidP="00DD304D">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02C3DBBF" w14:textId="77777777" w:rsidR="00DD304D" w:rsidRDefault="00DD304D" w:rsidP="00DD304D">
      <w:pPr>
        <w:spacing w:line="480" w:lineRule="auto"/>
        <w:ind w:left="1440" w:firstLine="720"/>
        <w:contextualSpacing/>
        <w:rPr>
          <w:rFonts w:ascii="Times New Roman" w:hAnsi="Times New Roman" w:cs="Times New Roman"/>
          <w:sz w:val="24"/>
          <w:szCs w:val="24"/>
        </w:rPr>
      </w:pPr>
    </w:p>
    <w:p w14:paraId="50DDD58B" w14:textId="77777777" w:rsidR="00DD304D" w:rsidRDefault="00DD304D" w:rsidP="00DD304D">
      <w:pPr>
        <w:rPr>
          <w:rFonts w:ascii="Times New Roman" w:hAnsi="Times New Roman" w:cs="Times New Roman"/>
          <w:sz w:val="24"/>
          <w:szCs w:val="24"/>
        </w:rPr>
      </w:pPr>
    </w:p>
    <w:p w14:paraId="2685BD2F" w14:textId="77777777" w:rsidR="00DD304D" w:rsidRDefault="00DD304D" w:rsidP="00DD304D">
      <w:pPr>
        <w:rPr>
          <w:rFonts w:ascii="Times New Roman" w:hAnsi="Times New Roman" w:cs="Times New Roman"/>
          <w:sz w:val="24"/>
          <w:szCs w:val="24"/>
        </w:rPr>
      </w:pPr>
    </w:p>
    <w:p w14:paraId="5E76B91C" w14:textId="77777777" w:rsidR="00DD304D" w:rsidRDefault="00DD304D" w:rsidP="00DD304D">
      <w:pPr>
        <w:rPr>
          <w:rFonts w:ascii="Times New Roman" w:hAnsi="Times New Roman" w:cs="Times New Roman"/>
          <w:sz w:val="24"/>
          <w:szCs w:val="24"/>
        </w:rPr>
      </w:pPr>
    </w:p>
    <w:p w14:paraId="50E9E0BA" w14:textId="77777777" w:rsidR="00DD304D" w:rsidRDefault="00DD304D" w:rsidP="00DD304D">
      <w:pPr>
        <w:rPr>
          <w:rFonts w:ascii="Times New Roman" w:hAnsi="Times New Roman" w:cs="Times New Roman"/>
          <w:sz w:val="24"/>
          <w:szCs w:val="24"/>
        </w:rPr>
      </w:pPr>
    </w:p>
    <w:p w14:paraId="1A43ECEC" w14:textId="77777777" w:rsidR="007157E1" w:rsidRDefault="00144A15" w:rsidP="00DD304D">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4E045AA8" w14:textId="18CEA767" w:rsidR="007157E1" w:rsidRDefault="00144A15" w:rsidP="00DD304D">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Introduction</w:t>
      </w:r>
    </w:p>
    <w:p w14:paraId="3672A32D" w14:textId="1FC501CA" w:rsidR="00DD304D" w:rsidRPr="00DD304D" w:rsidRDefault="00144A15" w:rsidP="00DD304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S</w:t>
      </w:r>
      <w:r w:rsidR="00515F71" w:rsidRPr="00DD304D">
        <w:rPr>
          <w:rFonts w:ascii="Times New Roman" w:hAnsi="Times New Roman" w:cs="Times New Roman"/>
          <w:sz w:val="24"/>
          <w:szCs w:val="24"/>
        </w:rPr>
        <w:t xml:space="preserve">ex and sexual orientation </w:t>
      </w:r>
      <w:r w:rsidR="001F1598">
        <w:rPr>
          <w:rFonts w:ascii="Times New Roman" w:hAnsi="Times New Roman" w:cs="Times New Roman"/>
          <w:sz w:val="24"/>
          <w:szCs w:val="24"/>
        </w:rPr>
        <w:t xml:space="preserve">terms </w:t>
      </w:r>
      <w:r w:rsidR="00515F71" w:rsidRPr="00DD304D">
        <w:rPr>
          <w:rFonts w:ascii="Times New Roman" w:hAnsi="Times New Roman" w:cs="Times New Roman"/>
          <w:sz w:val="24"/>
          <w:szCs w:val="24"/>
        </w:rPr>
        <w:t>are generally utilized reciprocally</w:t>
      </w:r>
      <w:r w:rsidR="001F1598">
        <w:rPr>
          <w:rFonts w:ascii="Times New Roman" w:hAnsi="Times New Roman" w:cs="Times New Roman"/>
          <w:sz w:val="24"/>
          <w:szCs w:val="24"/>
        </w:rPr>
        <w:t xml:space="preserve">. </w:t>
      </w:r>
      <w:r w:rsidR="00515F71" w:rsidRPr="00DD304D">
        <w:rPr>
          <w:rFonts w:ascii="Times New Roman" w:hAnsi="Times New Roman" w:cs="Times New Roman"/>
          <w:sz w:val="24"/>
          <w:szCs w:val="24"/>
        </w:rPr>
        <w:t xml:space="preserve"> </w:t>
      </w:r>
      <w:r w:rsidR="001F1598">
        <w:rPr>
          <w:rFonts w:ascii="Times New Roman" w:hAnsi="Times New Roman" w:cs="Times New Roman"/>
          <w:sz w:val="24"/>
          <w:szCs w:val="24"/>
        </w:rPr>
        <w:t>H</w:t>
      </w:r>
      <w:r w:rsidR="00515F71" w:rsidRPr="00DD304D">
        <w:rPr>
          <w:rFonts w:ascii="Times New Roman" w:hAnsi="Times New Roman" w:cs="Times New Roman"/>
          <w:sz w:val="24"/>
          <w:szCs w:val="24"/>
        </w:rPr>
        <w:t xml:space="preserve">owever, then again, these terms characterize various ideas that are viewed as conversely. Sexual orientation implies that society and people </w:t>
      </w:r>
      <w:r w:rsidR="001F1598">
        <w:rPr>
          <w:rFonts w:ascii="Times New Roman" w:hAnsi="Times New Roman" w:cs="Times New Roman"/>
          <w:sz w:val="24"/>
          <w:szCs w:val="24"/>
        </w:rPr>
        <w:t>are classified as either being female or male.</w:t>
      </w:r>
      <w:r w:rsidR="00515F71" w:rsidRPr="00DD304D">
        <w:rPr>
          <w:rFonts w:ascii="Times New Roman" w:hAnsi="Times New Roman" w:cs="Times New Roman"/>
          <w:sz w:val="24"/>
          <w:szCs w:val="24"/>
        </w:rPr>
        <w:t xml:space="preserve"> (Saewyc, E. 2017) accentuation on a worldwide view on sex job and personality. Sex character is how individuals feel with regards to being male or female. Sex characters have various names, portrayals, and terms. Sex articulation is one showing remotely one's sexual orientation. This is commonly estimated based on gentility and manliness. Male scholars frequently utilize sex terms to depict their battle for the opportunity. Women regularly utilize the sex terms to project the battle for an opportunity to battle against racial limitations just as sexual. The battle for racial limitations is more than a second as expected and particularly ladies of shading. Ladies have been on the front to battle for opportunity against racial correspondence, particularly in the US, when the law and bigoted vigilantes have executed individuals of color.</w:t>
      </w:r>
      <w:r w:rsidR="00AB414D">
        <w:rPr>
          <w:rFonts w:ascii="Times New Roman" w:hAnsi="Times New Roman" w:cs="Times New Roman"/>
          <w:sz w:val="24"/>
          <w:szCs w:val="24"/>
        </w:rPr>
        <w:t xml:space="preserve"> Projecting gender equality through metadiscourse marking and also investigating writers discourse (</w:t>
      </w:r>
      <w:r w:rsidR="00AB414D" w:rsidRPr="007539CF">
        <w:rPr>
          <w:rFonts w:ascii="Times New Roman" w:hAnsi="Times New Roman" w:cs="Times New Roman"/>
          <w:sz w:val="24"/>
          <w:szCs w:val="24"/>
        </w:rPr>
        <w:t>Seyyedrezaie</w:t>
      </w:r>
      <w:r w:rsidR="00AB414D">
        <w:rPr>
          <w:rFonts w:ascii="Times New Roman" w:hAnsi="Times New Roman" w:cs="Times New Roman"/>
          <w:sz w:val="24"/>
          <w:szCs w:val="24"/>
        </w:rPr>
        <w:t xml:space="preserve"> et al. 2017) </w:t>
      </w:r>
    </w:p>
    <w:p w14:paraId="5604B9AC" w14:textId="3479A3E2" w:rsidR="00DD304D" w:rsidRDefault="00144A15" w:rsidP="00DD304D">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DD304D">
        <w:rPr>
          <w:rFonts w:ascii="Times New Roman" w:hAnsi="Times New Roman" w:cs="Times New Roman"/>
          <w:b/>
          <w:bCs/>
          <w:sz w:val="24"/>
          <w:szCs w:val="24"/>
        </w:rPr>
        <w:t xml:space="preserve">How Male and Female Writers Represent Gender Authority </w:t>
      </w:r>
    </w:p>
    <w:p w14:paraId="3990DA43" w14:textId="08A884A7" w:rsidR="008F7842" w:rsidRDefault="00144A15" w:rsidP="00BE4CBC">
      <w:pPr>
        <w:spacing w:line="480" w:lineRule="auto"/>
        <w:ind w:firstLine="720"/>
        <w:contextualSpacing/>
        <w:jc w:val="both"/>
        <w:rPr>
          <w:rFonts w:ascii="Times New Roman" w:hAnsi="Times New Roman" w:cs="Times New Roman"/>
          <w:sz w:val="24"/>
          <w:szCs w:val="24"/>
        </w:rPr>
      </w:pPr>
      <w:r w:rsidRPr="008F7842">
        <w:rPr>
          <w:rFonts w:ascii="Times New Roman" w:hAnsi="Times New Roman" w:cs="Times New Roman"/>
          <w:sz w:val="24"/>
          <w:szCs w:val="24"/>
        </w:rPr>
        <w:t>Nature gave a target correlative through which the black ladies poets could articulate their sex mistreatment just as that of race, for nature, similar to them, had been externalized, attacked, and ut</w:t>
      </w:r>
      <w:r w:rsidRPr="008F7842">
        <w:rPr>
          <w:rFonts w:ascii="Times New Roman" w:hAnsi="Times New Roman" w:cs="Times New Roman"/>
          <w:sz w:val="24"/>
          <w:szCs w:val="24"/>
        </w:rPr>
        <w:t>ilized by men looking for influence and riches</w:t>
      </w:r>
      <w:r>
        <w:rPr>
          <w:rFonts w:ascii="Times New Roman" w:hAnsi="Times New Roman" w:cs="Times New Roman"/>
          <w:sz w:val="24"/>
          <w:szCs w:val="24"/>
        </w:rPr>
        <w:t>.</w:t>
      </w:r>
      <w:r w:rsidR="00BE4CBC" w:rsidRPr="00BE4CBC">
        <w:t xml:space="preserve"> </w:t>
      </w:r>
      <w:r w:rsidR="00BE4CBC" w:rsidRPr="00BE4CBC">
        <w:rPr>
          <w:rFonts w:ascii="Times New Roman" w:hAnsi="Times New Roman" w:cs="Times New Roman"/>
          <w:sz w:val="24"/>
          <w:szCs w:val="24"/>
        </w:rPr>
        <w:t>Ladies in American History II: "Mary Church Terrell's activist life shows what a lady can achieve in the battle to achieve nobility for all ladies. In 1892 she started the Colored Women's League of Washington, which spread to different urban communities and turned into the National Association of Colored Women.</w:t>
      </w:r>
      <w:r w:rsidR="00BE4CBC">
        <w:rPr>
          <w:rFonts w:ascii="Times New Roman" w:hAnsi="Times New Roman" w:cs="Times New Roman"/>
          <w:sz w:val="24"/>
          <w:szCs w:val="24"/>
        </w:rPr>
        <w:t xml:space="preserve"> Writer Nathan Huggin and sign take the issue with the absoluteness, which he later views the black American dilemma on equal terms in self-</w:t>
      </w:r>
      <w:r w:rsidR="00D65A5A">
        <w:rPr>
          <w:rFonts w:ascii="Times New Roman" w:hAnsi="Times New Roman" w:cs="Times New Roman"/>
          <w:sz w:val="24"/>
          <w:szCs w:val="24"/>
        </w:rPr>
        <w:t xml:space="preserve">definition with the white American. He argues that racial restrictions between the black and the whites limit possibilities of artistic exchange and equally personal. The discussion of the issue relationship between the black and the white in the 1920s is added a little. </w:t>
      </w:r>
      <w:r w:rsidR="00D65A5A">
        <w:rPr>
          <w:rFonts w:ascii="Times New Roman" w:hAnsi="Times New Roman" w:cs="Times New Roman"/>
          <w:sz w:val="24"/>
          <w:szCs w:val="24"/>
        </w:rPr>
        <w:lastRenderedPageBreak/>
        <w:t xml:space="preserve">In the infants of spring essay by Dorthy west and Helen johnson, Ferguson identifies </w:t>
      </w:r>
      <w:r w:rsidR="0049338A">
        <w:rPr>
          <w:rFonts w:ascii="Times New Roman" w:hAnsi="Times New Roman" w:cs="Times New Roman"/>
          <w:sz w:val="24"/>
          <w:szCs w:val="24"/>
        </w:rPr>
        <w:t xml:space="preserve">Wallace's character, who represents Helen and Dorthy.  </w:t>
      </w:r>
    </w:p>
    <w:p w14:paraId="43F5B7E2" w14:textId="2CB8E54E" w:rsidR="0049338A" w:rsidRDefault="00144A15" w:rsidP="00BE4CB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Color, sex, and poetry is poetry composed of three women writers of the Harlem Renaissance. The introduction of</w:t>
      </w:r>
      <w:r>
        <w:rPr>
          <w:rFonts w:ascii="Times New Roman" w:hAnsi="Times New Roman" w:cs="Times New Roman"/>
          <w:sz w:val="24"/>
          <w:szCs w:val="24"/>
        </w:rPr>
        <w:t xml:space="preserve"> this book examines the traditional view of the renaissance. It is centered on the activities of a group of writers, basically young writers in Harlem. According to her, the vie suppresses the different roles played by other older writers, women during the</w:t>
      </w:r>
      <w:r>
        <w:rPr>
          <w:rFonts w:ascii="Times New Roman" w:hAnsi="Times New Roman" w:cs="Times New Roman"/>
          <w:sz w:val="24"/>
          <w:szCs w:val="24"/>
        </w:rPr>
        <w:t xml:space="preserve"> 1920s, and geographical areas. She is concerned about the women she writes about. </w:t>
      </w:r>
      <w:r w:rsidR="00710FF9">
        <w:rPr>
          <w:rFonts w:ascii="Times New Roman" w:hAnsi="Times New Roman" w:cs="Times New Roman"/>
          <w:sz w:val="24"/>
          <w:szCs w:val="24"/>
        </w:rPr>
        <w:t xml:space="preserve">She is more concerned, particularly on women that she writes about. Her subjects, based on sex, aesthetic inclinations, and geographical location, were marginalized during the twenties </w:t>
      </w:r>
      <w:r w:rsidR="00474DA0">
        <w:rPr>
          <w:rFonts w:ascii="Times New Roman" w:hAnsi="Times New Roman" w:cs="Times New Roman"/>
          <w:sz w:val="24"/>
          <w:szCs w:val="24"/>
        </w:rPr>
        <w:t>and marginalized</w:t>
      </w:r>
      <w:r w:rsidR="00DC43C7">
        <w:rPr>
          <w:rFonts w:ascii="Times New Roman" w:hAnsi="Times New Roman" w:cs="Times New Roman"/>
          <w:sz w:val="24"/>
          <w:szCs w:val="24"/>
        </w:rPr>
        <w:t xml:space="preserve">. One of the major critics by the name Alain Locke is described as a man and a great misogynist who favored young males. Locke functions within a homosexual coterie concerning patronage and friendship, which suggests that literary events were tied to bedroom politics and sexual harassment. </w:t>
      </w:r>
    </w:p>
    <w:p w14:paraId="09218935" w14:textId="66997378" w:rsidR="00626D98" w:rsidRDefault="00144A15" w:rsidP="00626D9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the soul of black folk, the writer Dubois came up with an extended metaphor of the veil that </w:t>
      </w:r>
      <w:r w:rsidR="007151DC">
        <w:rPr>
          <w:rFonts w:ascii="Times New Roman" w:hAnsi="Times New Roman" w:cs="Times New Roman"/>
          <w:sz w:val="24"/>
          <w:szCs w:val="24"/>
        </w:rPr>
        <w:t xml:space="preserve">creates a difference between Afro-American from American culture at a wide range and gives them a higher density and more profound vision. Langston is another popular writer whose voice became an official cultural afro-American voice. He comes into terms with Harlem or the war and depression, which includes the riots of 1942. The book's section </w:t>
      </w:r>
      <w:r w:rsidR="00AB414D">
        <w:rPr>
          <w:rFonts w:ascii="Times New Roman" w:hAnsi="Times New Roman" w:cs="Times New Roman"/>
          <w:sz w:val="24"/>
          <w:szCs w:val="24"/>
        </w:rPr>
        <w:t>is a boogie segue love life, which is shaped by the limits of life and more so the struggle for freedom for males. In the modern days, the death of black- Americans shocked many. According to (Dreyer et al. 2020), the death of George Floyd bends justice for children's generation.</w:t>
      </w:r>
    </w:p>
    <w:p w14:paraId="68797D14" w14:textId="4B5D3055" w:rsidR="00DD304D" w:rsidRPr="00AB414D" w:rsidRDefault="00144A15" w:rsidP="00AB414D">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t xml:space="preserve">                                                        </w:t>
      </w:r>
      <w:r w:rsidR="00DC43C7">
        <w:rPr>
          <w:rFonts w:ascii="Times New Roman" w:hAnsi="Times New Roman" w:cs="Times New Roman"/>
          <w:b/>
          <w:bCs/>
          <w:sz w:val="24"/>
          <w:szCs w:val="24"/>
        </w:rPr>
        <w:t xml:space="preserve"> </w:t>
      </w:r>
      <w:r w:rsidR="000F4966">
        <w:rPr>
          <w:rFonts w:ascii="Times New Roman" w:hAnsi="Times New Roman" w:cs="Times New Roman"/>
          <w:b/>
          <w:bCs/>
          <w:sz w:val="24"/>
          <w:szCs w:val="24"/>
        </w:rPr>
        <w:t xml:space="preserve"> </w:t>
      </w:r>
      <w:r w:rsidR="00515F71" w:rsidRPr="00DD304D">
        <w:rPr>
          <w:rFonts w:ascii="Times New Roman" w:hAnsi="Times New Roman" w:cs="Times New Roman"/>
          <w:b/>
          <w:bCs/>
          <w:sz w:val="24"/>
          <w:szCs w:val="24"/>
        </w:rPr>
        <w:t>References</w:t>
      </w:r>
    </w:p>
    <w:p w14:paraId="13BC15F2" w14:textId="77777777" w:rsidR="00DD304D" w:rsidRDefault="00144A15" w:rsidP="00DD304D">
      <w:pPr>
        <w:spacing w:line="480" w:lineRule="auto"/>
        <w:contextualSpacing/>
        <w:jc w:val="both"/>
        <w:rPr>
          <w:rFonts w:ascii="Times New Roman" w:hAnsi="Times New Roman" w:cs="Times New Roman"/>
          <w:sz w:val="24"/>
          <w:szCs w:val="24"/>
        </w:rPr>
      </w:pPr>
      <w:r w:rsidRPr="008C606A">
        <w:rPr>
          <w:rFonts w:ascii="Times New Roman" w:hAnsi="Times New Roman" w:cs="Times New Roman"/>
          <w:sz w:val="24"/>
          <w:szCs w:val="24"/>
        </w:rPr>
        <w:t>Dreyer, B. P., Trent, M., Anderson, A. T., Askew, G. L., Boyd, R., Coke</w:t>
      </w:r>
      <w:r w:rsidRPr="008C606A">
        <w:rPr>
          <w:rFonts w:ascii="Times New Roman" w:hAnsi="Times New Roman" w:cs="Times New Roman"/>
          <w:sz w:val="24"/>
          <w:szCs w:val="24"/>
        </w:rPr>
        <w:t>r, T. R., ... &amp; Montoya-</w:t>
      </w:r>
      <w:r>
        <w:rPr>
          <w:rFonts w:ascii="Times New Roman" w:hAnsi="Times New Roman" w:cs="Times New Roman"/>
          <w:sz w:val="24"/>
          <w:szCs w:val="24"/>
        </w:rPr>
        <w:tab/>
      </w:r>
      <w:r w:rsidRPr="008C606A">
        <w:rPr>
          <w:rFonts w:ascii="Times New Roman" w:hAnsi="Times New Roman" w:cs="Times New Roman"/>
          <w:sz w:val="24"/>
          <w:szCs w:val="24"/>
        </w:rPr>
        <w:t xml:space="preserve">Williams, D. (2020). The Death of George Floyd: Bending the Arc of History Toward </w:t>
      </w:r>
      <w:r>
        <w:rPr>
          <w:rFonts w:ascii="Times New Roman" w:hAnsi="Times New Roman" w:cs="Times New Roman"/>
          <w:sz w:val="24"/>
          <w:szCs w:val="24"/>
        </w:rPr>
        <w:tab/>
      </w:r>
      <w:r w:rsidRPr="008C606A">
        <w:rPr>
          <w:rFonts w:ascii="Times New Roman" w:hAnsi="Times New Roman" w:cs="Times New Roman"/>
          <w:sz w:val="24"/>
          <w:szCs w:val="24"/>
        </w:rPr>
        <w:t>Justice for Generations of Children. Pediatrics, 146(3).</w:t>
      </w:r>
    </w:p>
    <w:p w14:paraId="31A29D56" w14:textId="77777777" w:rsidR="00DD304D" w:rsidRDefault="00144A15" w:rsidP="00DD304D">
      <w:pPr>
        <w:spacing w:line="480" w:lineRule="auto"/>
        <w:contextualSpacing/>
        <w:jc w:val="both"/>
        <w:rPr>
          <w:rFonts w:ascii="Times New Roman" w:hAnsi="Times New Roman" w:cs="Times New Roman"/>
          <w:sz w:val="24"/>
          <w:szCs w:val="24"/>
        </w:rPr>
      </w:pPr>
      <w:r w:rsidRPr="007539CF">
        <w:rPr>
          <w:rFonts w:ascii="Times New Roman" w:hAnsi="Times New Roman" w:cs="Times New Roman"/>
          <w:sz w:val="24"/>
          <w:szCs w:val="24"/>
        </w:rPr>
        <w:lastRenderedPageBreak/>
        <w:t xml:space="preserve">Seyyedrezaie, Z., S., &amp; Vahedi, V. S. (2017). PROJECTING GENDER IDENTITY THROUGH </w:t>
      </w:r>
      <w:r>
        <w:rPr>
          <w:rFonts w:ascii="Times New Roman" w:hAnsi="Times New Roman" w:cs="Times New Roman"/>
          <w:sz w:val="24"/>
          <w:szCs w:val="24"/>
        </w:rPr>
        <w:tab/>
      </w:r>
      <w:r w:rsidRPr="007539CF">
        <w:rPr>
          <w:rFonts w:ascii="Times New Roman" w:hAnsi="Times New Roman" w:cs="Times New Roman"/>
          <w:sz w:val="24"/>
          <w:szCs w:val="24"/>
        </w:rPr>
        <w:t>METADISCO</w:t>
      </w:r>
      <w:r w:rsidRPr="007539CF">
        <w:rPr>
          <w:rFonts w:ascii="Times New Roman" w:hAnsi="Times New Roman" w:cs="Times New Roman"/>
          <w:sz w:val="24"/>
          <w:szCs w:val="24"/>
        </w:rPr>
        <w:t xml:space="preserve">URSE MARKING: INVESTIGATING WRITERS’STANCE TAKING IN </w:t>
      </w:r>
      <w:r>
        <w:rPr>
          <w:rFonts w:ascii="Times New Roman" w:hAnsi="Times New Roman" w:cs="Times New Roman"/>
          <w:sz w:val="24"/>
          <w:szCs w:val="24"/>
        </w:rPr>
        <w:tab/>
      </w:r>
      <w:r w:rsidRPr="007539CF">
        <w:rPr>
          <w:rFonts w:ascii="Times New Roman" w:hAnsi="Times New Roman" w:cs="Times New Roman"/>
          <w:sz w:val="24"/>
          <w:szCs w:val="24"/>
        </w:rPr>
        <w:t>WRITTEN DISCOURSE. Indonesian Journal of Applied Linguistics, 6(2), 301-310.</w:t>
      </w:r>
    </w:p>
    <w:p w14:paraId="467ABD77" w14:textId="77777777" w:rsidR="00DD304D" w:rsidRDefault="00144A15" w:rsidP="00DD304D">
      <w:pPr>
        <w:spacing w:line="480" w:lineRule="auto"/>
        <w:contextualSpacing/>
        <w:jc w:val="both"/>
        <w:rPr>
          <w:rFonts w:ascii="Times New Roman" w:hAnsi="Times New Roman" w:cs="Times New Roman"/>
          <w:sz w:val="24"/>
          <w:szCs w:val="24"/>
        </w:rPr>
      </w:pPr>
      <w:r w:rsidRPr="008C606A">
        <w:rPr>
          <w:rFonts w:ascii="Times New Roman" w:hAnsi="Times New Roman" w:cs="Times New Roman"/>
          <w:sz w:val="24"/>
          <w:szCs w:val="24"/>
        </w:rPr>
        <w:t xml:space="preserve">Saewyc, E. (2017). A global perspective on gender roles and identity. Journal of Adolescent Health, </w:t>
      </w:r>
      <w:r>
        <w:rPr>
          <w:rFonts w:ascii="Times New Roman" w:hAnsi="Times New Roman" w:cs="Times New Roman"/>
          <w:sz w:val="24"/>
          <w:szCs w:val="24"/>
        </w:rPr>
        <w:tab/>
      </w:r>
      <w:r w:rsidRPr="008C606A">
        <w:rPr>
          <w:rFonts w:ascii="Times New Roman" w:hAnsi="Times New Roman" w:cs="Times New Roman"/>
          <w:sz w:val="24"/>
          <w:szCs w:val="24"/>
        </w:rPr>
        <w:t>61(4), S1-S2.</w:t>
      </w:r>
    </w:p>
    <w:p w14:paraId="62A0E12B" w14:textId="77777777" w:rsidR="00DD304D" w:rsidRPr="00DD304D" w:rsidRDefault="00DD304D" w:rsidP="00DD304D">
      <w:pPr>
        <w:spacing w:line="480" w:lineRule="auto"/>
        <w:ind w:firstLine="720"/>
        <w:contextualSpacing/>
        <w:jc w:val="both"/>
        <w:rPr>
          <w:rFonts w:ascii="Times New Roman" w:hAnsi="Times New Roman" w:cs="Times New Roman"/>
          <w:b/>
          <w:bCs/>
          <w:sz w:val="24"/>
          <w:szCs w:val="24"/>
        </w:rPr>
      </w:pPr>
    </w:p>
    <w:p w14:paraId="7FE59E0A" w14:textId="77777777" w:rsidR="00DD304D" w:rsidRPr="00DD304D" w:rsidRDefault="00DD304D" w:rsidP="00DD304D">
      <w:pPr>
        <w:spacing w:line="480" w:lineRule="auto"/>
        <w:ind w:firstLine="720"/>
        <w:contextualSpacing/>
        <w:jc w:val="both"/>
        <w:rPr>
          <w:rFonts w:ascii="Times New Roman" w:hAnsi="Times New Roman" w:cs="Times New Roman"/>
          <w:sz w:val="24"/>
          <w:szCs w:val="24"/>
        </w:rPr>
      </w:pPr>
    </w:p>
    <w:sectPr w:rsidR="00DD304D" w:rsidRPr="00DD304D" w:rsidSect="00DD30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B06E4" w14:textId="77777777" w:rsidR="00000000" w:rsidRDefault="00144A15">
      <w:pPr>
        <w:spacing w:after="0" w:line="240" w:lineRule="auto"/>
      </w:pPr>
      <w:r>
        <w:separator/>
      </w:r>
    </w:p>
  </w:endnote>
  <w:endnote w:type="continuationSeparator" w:id="0">
    <w:p w14:paraId="5325C45E" w14:textId="77777777" w:rsidR="00000000" w:rsidRDefault="00144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F7111" w14:textId="77777777" w:rsidR="00000000" w:rsidRDefault="00144A15">
      <w:pPr>
        <w:spacing w:after="0" w:line="240" w:lineRule="auto"/>
      </w:pPr>
      <w:r>
        <w:separator/>
      </w:r>
    </w:p>
  </w:footnote>
  <w:footnote w:type="continuationSeparator" w:id="0">
    <w:p w14:paraId="092277D3" w14:textId="77777777" w:rsidR="00000000" w:rsidRDefault="00144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8480040"/>
      <w:docPartObj>
        <w:docPartGallery w:val="Page Numbers (Top of Page)"/>
        <w:docPartUnique/>
      </w:docPartObj>
    </w:sdtPr>
    <w:sdtEndPr>
      <w:rPr>
        <w:noProof/>
      </w:rPr>
    </w:sdtEndPr>
    <w:sdtContent>
      <w:p w14:paraId="649BDFDD" w14:textId="3B3F63E8" w:rsidR="00DD304D" w:rsidRDefault="00144A15">
        <w:pPr>
          <w:pStyle w:val="Header"/>
          <w:jc w:val="right"/>
        </w:pPr>
        <w:r w:rsidRPr="00DD304D">
          <w:rPr>
            <w:rFonts w:ascii="Times New Roman" w:hAnsi="Times New Roman" w:cs="Times New Roman"/>
            <w:sz w:val="24"/>
            <w:szCs w:val="24"/>
          </w:rPr>
          <w:t xml:space="preserve"> WRITERS</w:t>
        </w:r>
        <w:r>
          <w:tab/>
        </w:r>
        <w:r>
          <w:tab/>
        </w:r>
        <w:r>
          <w:fldChar w:fldCharType="begin"/>
        </w:r>
        <w:r>
          <w:instrText xml:space="preserve"> PAGE   \* MERGEFORMAT </w:instrText>
        </w:r>
        <w:r>
          <w:fldChar w:fldCharType="separate"/>
        </w:r>
        <w:r>
          <w:rPr>
            <w:noProof/>
          </w:rPr>
          <w:t>2</w:t>
        </w:r>
        <w:r>
          <w:rPr>
            <w:noProof/>
          </w:rPr>
          <w:fldChar w:fldCharType="end"/>
        </w:r>
      </w:p>
    </w:sdtContent>
  </w:sdt>
  <w:p w14:paraId="2B840849" w14:textId="77777777" w:rsidR="00DD304D" w:rsidRDefault="00DD30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0EFAD" w14:textId="57627AF2" w:rsidR="00DD304D" w:rsidRDefault="00144A15">
    <w:pPr>
      <w:pStyle w:val="Header"/>
      <w:jc w:val="right"/>
    </w:pPr>
    <w:r w:rsidRPr="00DD304D">
      <w:rPr>
        <w:rFonts w:ascii="Times New Roman" w:hAnsi="Times New Roman" w:cs="Times New Roman"/>
        <w:sz w:val="24"/>
        <w:szCs w:val="24"/>
      </w:rPr>
      <w:t>Running head: WRITERS</w:t>
    </w:r>
    <w:r>
      <w:tab/>
    </w:r>
    <w:r>
      <w:tab/>
    </w:r>
    <w:sdt>
      <w:sdtPr>
        <w:id w:val="11618828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731204" w14:textId="77777777" w:rsidR="00DD304D" w:rsidRDefault="00DD30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4D"/>
    <w:rsid w:val="00041631"/>
    <w:rsid w:val="000F4966"/>
    <w:rsid w:val="00144A15"/>
    <w:rsid w:val="001E2D06"/>
    <w:rsid w:val="001F1598"/>
    <w:rsid w:val="00362DCA"/>
    <w:rsid w:val="00474DA0"/>
    <w:rsid w:val="0049338A"/>
    <w:rsid w:val="00515F71"/>
    <w:rsid w:val="00626D98"/>
    <w:rsid w:val="00710FF9"/>
    <w:rsid w:val="007151DC"/>
    <w:rsid w:val="007157E1"/>
    <w:rsid w:val="007539CF"/>
    <w:rsid w:val="00834FC7"/>
    <w:rsid w:val="008867A0"/>
    <w:rsid w:val="008C606A"/>
    <w:rsid w:val="008F7842"/>
    <w:rsid w:val="009C0E73"/>
    <w:rsid w:val="00A96716"/>
    <w:rsid w:val="00AB414D"/>
    <w:rsid w:val="00BD0050"/>
    <w:rsid w:val="00BE4CBC"/>
    <w:rsid w:val="00D65A5A"/>
    <w:rsid w:val="00DC43C7"/>
    <w:rsid w:val="00DD304D"/>
    <w:rsid w:val="00FD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9FB9ACC-43D0-4997-9E0B-DBC046574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04D"/>
  </w:style>
  <w:style w:type="paragraph" w:styleId="Footer">
    <w:name w:val="footer"/>
    <w:basedOn w:val="Normal"/>
    <w:link w:val="FooterChar"/>
    <w:uiPriority w:val="99"/>
    <w:unhideWhenUsed/>
    <w:rsid w:val="00DD3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2020-10-21T22:07:00Z</dcterms:created>
  <dcterms:modified xsi:type="dcterms:W3CDTF">2020-10-21T22:07:00Z</dcterms:modified>
</cp:coreProperties>
</file>